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Утверждаю: «01» декабря 2023 года</w:t>
      </w:r>
    </w:p>
    <w:p w:rsidR="00000000" w:rsidDel="00000000" w:rsidP="00000000" w:rsidRDefault="00000000" w:rsidRPr="00000000" w14:paraId="00000002">
      <w:pPr>
        <w:spacing w:line="240" w:lineRule="auto"/>
        <w:jc w:val="righ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Индивидуальный предприниматель </w:t>
      </w:r>
      <w:r w:rsidDel="00000000" w:rsidR="00000000" w:rsidRPr="00000000">
        <w:rPr>
          <w:rFonts w:ascii="Times New Roman" w:cs="Times New Roman" w:eastAsia="Times New Roman" w:hAnsi="Times New Roman"/>
          <w:color w:val="333333"/>
          <w:sz w:val="24"/>
          <w:szCs w:val="24"/>
          <w:rtl w:val="0"/>
        </w:rPr>
        <w:t xml:space="preserve">Гексой Лидия Зекериевна</w:t>
      </w:r>
    </w:p>
    <w:p w:rsidR="00000000" w:rsidDel="00000000" w:rsidP="00000000" w:rsidRDefault="00000000" w:rsidRPr="00000000" w14:paraId="00000003">
      <w:pPr>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635501433666 ОГРНИП </w:t>
      </w:r>
      <w:r w:rsidDel="00000000" w:rsidR="00000000" w:rsidRPr="00000000">
        <w:rPr>
          <w:rFonts w:ascii="Times New Roman" w:cs="Times New Roman" w:eastAsia="Times New Roman" w:hAnsi="Times New Roman"/>
          <w:sz w:val="24"/>
          <w:szCs w:val="24"/>
          <w:highlight w:val="white"/>
          <w:rtl w:val="0"/>
        </w:rPr>
        <w:t xml:space="preserve">322631200127072</w:t>
      </w: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ПОЛИТИКА ОБРАБОТКИ ПЕРСОНАЛЬНЫХ ДАННЫХ</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ОБЩИЕ ПОЛОЖЕНИЯ, СТОРОНЫ И ЦЕЛЬ ДОКУМЕНТА</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Настоящая Политика в отношении обработки персональных данных (далее - Политика) разработана ИП </w:t>
      </w:r>
      <w:r w:rsidDel="00000000" w:rsidR="00000000" w:rsidRPr="00000000">
        <w:rPr>
          <w:rFonts w:ascii="Times New Roman" w:cs="Times New Roman" w:eastAsia="Times New Roman" w:hAnsi="Times New Roman"/>
          <w:color w:val="333333"/>
          <w:sz w:val="24"/>
          <w:szCs w:val="24"/>
          <w:rtl w:val="0"/>
        </w:rPr>
        <w:t xml:space="preserve">Гексой Лидией Зекериевной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во исполнение требований п. 2 ч. 1 ст. 18.1 Федерального закона от 27.07.2006 № 152-ФЗ «О персональных данных» (далее – Закон о персональных данных), определяет порядок и условия обработки информации о физическом лице,  которая может быть получена Оператором от этого физического лица, либо от его законного представителя (далее – «Пользователь», «Субъект персональных данных»), при возникновении следующих отношений с Субъектом персональных данных:</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осуществлении Оператором прав и обязанностей, установленных соглашениями/договорами, заключенными между Оператором и Пользователем, включая, но не ограничиваясь, оферта на заключение договора возмездного оказания услуг, доступную по адресу: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892ff"/>
          <w:sz w:val="24"/>
          <w:szCs w:val="24"/>
          <w:rtl w:val="0"/>
        </w:rPr>
        <w:t xml:space="preserve">https://лидия-гексой.рф/new-years-marathon-makeup-pro-5-0/ </w:t>
      </w:r>
      <w:r w:rsidDel="00000000" w:rsidR="00000000" w:rsidRPr="00000000">
        <w:rPr>
          <w:rFonts w:ascii="Times New Roman" w:cs="Times New Roman" w:eastAsia="Times New Roman" w:hAnsi="Times New Roman"/>
          <w:sz w:val="24"/>
          <w:szCs w:val="24"/>
          <w:rtl w:val="0"/>
        </w:rPr>
        <w:t xml:space="preserve">(далее – Сайт);</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обработке обращений, жалоб, запросов, сообщений, направляемых Оператором и Пользователем друг другу.</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ПРАВОВОЕ ОСНОВАНИЕ ОБРАБОТКИ ПЕРСОНАЛЬНЫХ ДАННЫХ </w:t>
      </w:r>
    </w:p>
    <w:p w:rsidR="00000000" w:rsidDel="00000000" w:rsidP="00000000" w:rsidRDefault="00000000" w:rsidRPr="00000000" w14:paraId="0000001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Правовыми основаниями обработки персональных данных являются:</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согласие на обработку персональных данных, выраженное способом, установленным законом и настоящей Политикой;</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договор, заключаемый между Оператором и Пользователем, посредством акцепта оферты;</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локальные нормативные акты Оператора в области персональных данных.</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следующих действий:</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простановка символа в чек-боксе (в поле для ввода) на Сайте рядом с текстом вида: «Я даю согласие на обработку персональных данных на условиях Политики», при условии, что Пользователю в каждом месте сбора персональных данных предоставлена возможность ознакомиться с полным текстом настоящей Политики.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ПРАВИЛА ОБРАБОТКИ ПЕРСОНАЛЬНЫХ ДАННЫХ</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Цель: заключение договорных отношений.</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и перечень обрабатываемых данных: имя, номер телефона, адрес электронной почты.</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субъектов, персональные данные которых обрабатываются: субъекты персональных данных - Пользователи Сайта.</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Цель: связь с Пользователем, направление Пользователю сообщений рекламного или информационного характера.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и перечень обрабатываемых данных: имя, телефон, электронная почта, аккаунт в мессенджере Telegram.</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субъектов, персональные данные которых обрабатываются: субъекты персональных данных - Пользователи Сайта.</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Цель: обработка обращений, жалоб, запросов, сообщений, направляемых Оператором и Пользователем друг другу.</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и перечень обрабатываемых данных: имя, электронная почта, текст сообщения (если текст сообщения содержит персональные данные).</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субъектов, персональные данные которых обрабатываются: субъекты персональных данных - Пользователи Сайта.</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Цель: участие Пользователя в маркетинговых исследованиях, анализах с целью улучшения качества оказания услуги.</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и перечень обрабатываемых данных: электронная почта, номер телефона.</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Категории субъектов, персональные данные которых обрабатываются: субъекты персональных данных - Пользователи Сайта.</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 технологии куки (cookie): </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Куки (cookie):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Оператор может использовать следующие типы файлов куки (cookie) в следующих целях:</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анализировать и упорядочивать статистику и аналитику Сайта и улучшать Сайт;</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файлы cookie для форм: когда вы отправляете данные через форму, такую ​​как те, которые находятся на странице контактов, в формах обратной связи, файлы cookie могут использоваться для запоминания вас для будущей переписки.</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Использование файлов куки (cookie) регулируется следующим образом:</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файлы куки, содержание которых определяет и обрабатывает исключительно Оператор, обрабатываются на условиях настоящей Политики;</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tbl>
      <w:tblPr>
        <w:tblStyle w:val="Table1"/>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45"/>
        <w:gridCol w:w="4635"/>
        <w:tblGridChange w:id="0">
          <w:tblGrid>
            <w:gridCol w:w="4245"/>
            <w:gridCol w:w="4635"/>
          </w:tblGrid>
        </w:tblGridChange>
      </w:tblGrid>
      <w:tr>
        <w:trPr>
          <w:cantSplit w:val="0"/>
          <w:trHeight w:val="555"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аналитики использования Сайта мы применяем следующие сторонние инструменты, которые могут использовать технологии cookie:</w:t>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Яндекс.Метрика</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rPr>
                <w:rFonts w:ascii="Times New Roman" w:cs="Times New Roman" w:eastAsia="Times New Roman" w:hAnsi="Times New Roman"/>
                <w:color w:val="0563c1"/>
                <w:u w:val="single"/>
              </w:rPr>
            </w:pPr>
            <w:hyperlink r:id="rId6">
              <w:r w:rsidDel="00000000" w:rsidR="00000000" w:rsidRPr="00000000">
                <w:rPr>
                  <w:rFonts w:ascii="Times New Roman" w:cs="Times New Roman" w:eastAsia="Times New Roman" w:hAnsi="Times New Roman"/>
                  <w:color w:val="0563c1"/>
                  <w:u w:val="single"/>
                  <w:rtl w:val="0"/>
                </w:rPr>
                <w:t xml:space="preserve">https://yandex.ru/legal/confidential/</w:t>
              </w:r>
            </w:hyperlink>
            <w:r w:rsidDel="00000000" w:rsidR="00000000" w:rsidRPr="00000000">
              <w:rPr>
                <w:rtl w:val="0"/>
              </w:rPr>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Analytics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b71b2"/>
                  <w:highlight w:val="white"/>
                  <w:u w:val="single"/>
                  <w:rtl w:val="0"/>
                </w:rPr>
                <w:t xml:space="preserve">https://policies.google.com/privacy</w:t>
              </w:r>
            </w:hyperlink>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5F">
      <w:pPr>
        <w:spacing w:after="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Порядок и условия обработки персональных данных</w:t>
      </w:r>
    </w:p>
    <w:p w:rsidR="00000000" w:rsidDel="00000000" w:rsidP="00000000" w:rsidRDefault="00000000" w:rsidRPr="00000000" w14:paraId="0000006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rsidR="00000000" w:rsidDel="00000000" w:rsidP="00000000" w:rsidRDefault="00000000" w:rsidRPr="00000000" w14:paraId="0000006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может обрабатывать данные указанными способами (операциями) как в информационных системах персональных данных, так и без использования средств автоматизации. </w:t>
      </w:r>
    </w:p>
    <w:p w:rsidR="00000000" w:rsidDel="00000000" w:rsidP="00000000" w:rsidRDefault="00000000" w:rsidRPr="00000000" w14:paraId="0000006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будет обрабатывать персональные данные столько времени, сколько это необходимо для достижения конкретной цели обработки.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(трех) лет.</w:t>
      </w:r>
    </w:p>
    <w:p w:rsidR="00000000" w:rsidDel="00000000" w:rsidP="00000000" w:rsidRDefault="00000000" w:rsidRPr="00000000" w14:paraId="00000063">
      <w:pPr>
        <w:spacing w:after="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Меры по защите персональных данных</w:t>
      </w:r>
    </w:p>
    <w:p w:rsidR="00000000" w:rsidDel="00000000" w:rsidP="00000000" w:rsidRDefault="00000000" w:rsidRPr="00000000" w14:paraId="0000006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rsidR="00000000" w:rsidDel="00000000" w:rsidP="00000000" w:rsidRDefault="00000000" w:rsidRPr="00000000" w14:paraId="0000006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rsidR="00000000" w:rsidDel="00000000" w:rsidP="00000000" w:rsidRDefault="00000000" w:rsidRPr="00000000" w14:paraId="0000006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rsidR="00000000" w:rsidDel="00000000" w:rsidP="00000000" w:rsidRDefault="00000000" w:rsidRPr="00000000" w14:paraId="0000006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rsidR="00000000" w:rsidDel="00000000" w:rsidP="00000000" w:rsidRDefault="00000000" w:rsidRPr="00000000" w14:paraId="0000006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rsidR="00000000" w:rsidDel="00000000" w:rsidP="00000000" w:rsidRDefault="00000000" w:rsidRPr="00000000" w14:paraId="00000069">
      <w:pPr>
        <w:spacing w:after="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Передача персональных данных третьим лицам персональных данных</w:t>
      </w:r>
    </w:p>
    <w:p w:rsidR="00000000" w:rsidDel="00000000" w:rsidP="00000000" w:rsidRDefault="00000000" w:rsidRPr="00000000" w14:paraId="0000006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вправе осуществить передачу (способом доступа и предоставления) персональных данных следующим третьим лицам:</w:t>
      </w:r>
    </w:p>
    <w:p w:rsidR="00000000" w:rsidDel="00000000" w:rsidP="00000000" w:rsidRDefault="00000000" w:rsidRPr="00000000" w14:paraId="0000006B">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w:t>
      </w:r>
    </w:p>
    <w:p w:rsidR="00000000" w:rsidDel="00000000" w:rsidP="00000000" w:rsidRDefault="00000000" w:rsidRPr="00000000" w14:paraId="0000006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rsidR="00000000" w:rsidDel="00000000" w:rsidP="00000000" w:rsidRDefault="00000000" w:rsidRPr="00000000" w14:paraId="0000006D">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Пользователь разрешил своему оборудованию прием, передачу и хранение файлов технологии куки (cookie), если такой файл содержит персональные данные. </w:t>
      </w:r>
    </w:p>
    <w:p w:rsidR="00000000" w:rsidDel="00000000" w:rsidP="00000000" w:rsidRDefault="00000000" w:rsidRPr="00000000" w14:paraId="0000006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Для реализации всех прав субъекта персональных данных, связанных с передачей (доступом, предоставлением, распространением) персональных данных, Субъект персональных данных может воспользоваться соответствующими настройками и функциями Сайта, а если настройки или функции Сайта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000000" w:rsidDel="00000000" w:rsidP="00000000" w:rsidRDefault="00000000" w:rsidRPr="00000000" w14:paraId="0000006F">
      <w:pPr>
        <w:spacing w:after="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Права и обязанности в отношении персональных данных. Представитель</w:t>
      </w:r>
    </w:p>
    <w:p w:rsidR="00000000" w:rsidDel="00000000" w:rsidP="00000000" w:rsidRDefault="00000000" w:rsidRPr="00000000" w14:paraId="0000007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 представителях: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rsidR="00000000" w:rsidDel="00000000" w:rsidP="00000000" w:rsidRDefault="00000000" w:rsidRPr="00000000" w14:paraId="0000007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000000" w:rsidDel="00000000" w:rsidP="00000000" w:rsidRDefault="00000000" w:rsidRPr="00000000" w14:paraId="0000007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 </w:t>
      </w:r>
    </w:p>
    <w:p w:rsidR="00000000" w:rsidDel="00000000" w:rsidP="00000000" w:rsidRDefault="00000000" w:rsidRPr="00000000" w14:paraId="0000007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Пользователь может дополнить и исправить персональную информацию путем направления письменного обращения на адрес электронной почты Оператора, указанный в настоящей Политике;</w:t>
      </w:r>
    </w:p>
    <w:p w:rsidR="00000000" w:rsidDel="00000000" w:rsidP="00000000" w:rsidRDefault="00000000" w:rsidRPr="00000000" w14:paraId="0000007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Пользователь может заблокировать и удалить персональную информацию путем направления письменного обращения на адрес электронной почты Оператора, указанный в настоящей Политике;</w:t>
      </w:r>
    </w:p>
    <w:p w:rsidR="00000000" w:rsidDel="00000000" w:rsidP="00000000" w:rsidRDefault="00000000" w:rsidRPr="00000000" w14:paraId="0000007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Иные права субъекта персональных данных реализуются в аналогичном порядке: для реализации права Пользователь может направить письменное обращение на адрес электронной почты Оператора, указанный в настоящей Политике.</w:t>
      </w:r>
    </w:p>
    <w:p w:rsidR="00000000" w:rsidDel="00000000" w:rsidP="00000000" w:rsidRDefault="00000000" w:rsidRPr="00000000" w14:paraId="00000076">
      <w:pPr>
        <w:spacing w:after="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Основные права субъекта персональных данных:</w:t>
      </w:r>
    </w:p>
    <w:p w:rsidR="00000000" w:rsidDel="00000000" w:rsidP="00000000" w:rsidRDefault="00000000" w:rsidRPr="00000000" w14:paraId="00000077">
      <w:pPr>
        <w:spacing w:after="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запрашивать информацию об осуществляемой обработке персональных данных;</w:t>
      </w:r>
    </w:p>
    <w:p w:rsidR="00000000" w:rsidDel="00000000" w:rsidP="00000000" w:rsidRDefault="00000000" w:rsidRPr="00000000" w14:paraId="00000078">
      <w:pPr>
        <w:spacing w:after="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отзывать согласие на обработку персональных данных;</w:t>
      </w:r>
    </w:p>
    <w:p w:rsidR="00000000" w:rsidDel="00000000" w:rsidP="00000000" w:rsidRDefault="00000000" w:rsidRPr="00000000" w14:paraId="00000079">
      <w:pPr>
        <w:spacing w:after="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требовать ограничений на обработку персональных данных;</w:t>
      </w:r>
    </w:p>
    <w:p w:rsidR="00000000" w:rsidDel="00000000" w:rsidP="00000000" w:rsidRDefault="00000000" w:rsidRPr="00000000" w14:paraId="0000007A">
      <w:pPr>
        <w:spacing w:after="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требовать прекратить обработку персональных данных, если это предусмотрено применимым законодательством и настоящей Политикой.</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предусмотренных применимым законодательством, Субъект персональных данных обладает другими правами, не указанными выше.</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Правила хранения и обработки персональных данных граждан РФ, правила о трансграничной передаче персональных данных</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до начала осуществления трансграничной передачи персональных данных на территорию иностранного государства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УВЕДОМЛЕНИЯ И СВЯЗЬ С СУБЪЕКТОМ ПЕРСОНАЛЬНЫХ ДАННЫХ</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соглашается получать от Оператора сообщения по адресу электронной почты и на абонентский номер телефона, указанные Субъект персональных данных при использовании функций Сайта (далее – «Нотификации»). </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вправе отозвать свое согласие на получение Нотификаций: путем направления уведомления на электронную почту Оператора. Субъект персональных данных согласен с тем, что Оператор прекращает направление Нотификаций не ранее чем через 24 часа после выполнения указанных действий.</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вправе использовать Нотификации для</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направления Субъекту персональных данных сообщений и рассылок рекламного характера.</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Документы, которые по мнению Оператора имеют юридическое значение, Оператор вправе запросить в бумажном виде. Такие документы, а также документы, которые Субъект персональных данных сам считает необходимым направить в бумажном виде, направляются по адресу места нахождения Оператора, указанному в настоящей Политике.</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ИЗМЕНЕНИЕ ПОЛИТИКИ. ПРИМЕНИМОЕ ПРАВО. ТОЛКОВАНИЕ</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 </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rsidR="00000000" w:rsidDel="00000000" w:rsidP="00000000" w:rsidRDefault="00000000" w:rsidRPr="00000000" w14:paraId="0000008F">
      <w:p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РЕКВИЗИТЫ ОПЕРАТОРА </w:t>
      </w:r>
    </w:p>
    <w:tbl>
      <w:tblPr>
        <w:tblStyle w:val="Table2"/>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420"/>
        <w:tblGridChange w:id="0">
          <w:tblGrid>
            <w:gridCol w:w="2580"/>
            <w:gridCol w:w="6420"/>
          </w:tblGrid>
        </w:tblGridChange>
      </w:tblGrid>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w:t>
            </w:r>
          </w:p>
        </w:tc>
        <w:tc>
          <w:tcPr>
            <w:tcBorders>
              <w:top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Индивидуальный предприниматель </w:t>
            </w:r>
          </w:p>
          <w:p w:rsidR="00000000" w:rsidDel="00000000" w:rsidP="00000000" w:rsidRDefault="00000000" w:rsidRPr="00000000" w14:paraId="0000009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Гексой Лидия Зекериевна</w:t>
            </w:r>
            <w:r w:rsidDel="00000000" w:rsidR="00000000" w:rsidRPr="00000000">
              <w:rPr>
                <w:rtl w:val="0"/>
              </w:rPr>
            </w:r>
          </w:p>
        </w:tc>
      </w:tr>
      <w:tr>
        <w:trPr>
          <w:cantSplit w:val="0"/>
          <w:trHeight w:val="57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Сокращенное наименование </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ИП </w:t>
            </w:r>
            <w:r w:rsidDel="00000000" w:rsidR="00000000" w:rsidRPr="00000000">
              <w:rPr>
                <w:rFonts w:ascii="Times New Roman" w:cs="Times New Roman" w:eastAsia="Times New Roman" w:hAnsi="Times New Roman"/>
                <w:color w:val="333333"/>
                <w:sz w:val="24"/>
                <w:szCs w:val="24"/>
                <w:rtl w:val="0"/>
              </w:rPr>
              <w:t xml:space="preserve">Гексой</w:t>
            </w:r>
            <w:r w:rsidDel="00000000" w:rsidR="00000000" w:rsidRPr="00000000">
              <w:rPr>
                <w:rFonts w:ascii="Times New Roman" w:cs="Times New Roman" w:eastAsia="Times New Roman" w:hAnsi="Times New Roman"/>
                <w:rtl w:val="0"/>
              </w:rPr>
              <w:t xml:space="preserve"> Л.З.</w:t>
            </w:r>
          </w:p>
        </w:tc>
      </w:tr>
      <w:tr>
        <w:trPr>
          <w:cantSplit w:val="0"/>
          <w:trHeight w:val="30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Юридический адрес</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445244, Россия, Самарская обл., г. Октябрьск, ул. Куйбышева, д.15, кв. 56 </w:t>
            </w: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Почтовый адрес</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127015, Россия, г. Москва, ул. Новодмитровская, д. 2, корп. 5, кв. 535</w:t>
            </w:r>
          </w:p>
        </w:tc>
      </w:tr>
      <w:tr>
        <w:trPr>
          <w:cantSplit w:val="0"/>
          <w:trHeight w:val="57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Times New Roman" w:cs="Times New Roman" w:eastAsia="Times New Roman" w:hAnsi="Times New Roman"/>
                <w:sz w:val="24"/>
                <w:szCs w:val="24"/>
              </w:rPr>
            </w:pPr>
            <w:bookmarkStart w:colFirst="0" w:colLast="0" w:name="_p9yxmhqhnd8f" w:id="0"/>
            <w:bookmarkEnd w:id="0"/>
            <w:hyperlink r:id="rId8">
              <w:r w:rsidDel="00000000" w:rsidR="00000000" w:rsidRPr="00000000">
                <w:rPr>
                  <w:rFonts w:ascii="Times New Roman" w:cs="Times New Roman" w:eastAsia="Times New Roman" w:hAnsi="Times New Roman"/>
                  <w:color w:val="1155cc"/>
                  <w:sz w:val="24"/>
                  <w:szCs w:val="24"/>
                  <w:u w:val="single"/>
                  <w:rtl w:val="0"/>
                </w:rPr>
                <w:t xml:space="preserve">Lidiya.makeup@gmail.com</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30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635501433666</w:t>
            </w: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ОГРНИП</w:t>
            </w:r>
          </w:p>
        </w:tc>
        <w:tc>
          <w:tcPr>
            <w:tcBorders>
              <w:bottom w:color="000000" w:space="0" w:sz="8" w:val="single"/>
              <w:right w:color="000000" w:space="0" w:sz="8" w:val="single"/>
            </w:tcBorders>
            <w:shd w:fill="auto" w:val="clear"/>
            <w:tcMar>
              <w:top w:w="20.0" w:type="dxa"/>
              <w:left w:w="20.0" w:type="dxa"/>
              <w:bottom w:w="0.0" w:type="dxa"/>
              <w:right w:w="2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3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322631200127072</w:t>
            </w:r>
            <w:r w:rsidDel="00000000" w:rsidR="00000000" w:rsidRPr="00000000">
              <w:rPr>
                <w:rtl w:val="0"/>
              </w:rPr>
            </w:r>
          </w:p>
        </w:tc>
      </w:tr>
    </w:tbl>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Информация для реализации прав субъекта персональных данных: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Информация для реализации прав органа, уполномоченного в сфере персональных данных: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следующему отдельному адресу электронной почты: </w:t>
      </w:r>
      <w:hyperlink r:id="rId9">
        <w:r w:rsidDel="00000000" w:rsidR="00000000" w:rsidRPr="00000000">
          <w:rPr>
            <w:rFonts w:ascii="Times New Roman" w:cs="Times New Roman" w:eastAsia="Times New Roman" w:hAnsi="Times New Roman"/>
            <w:color w:val="1155cc"/>
            <w:sz w:val="24"/>
            <w:szCs w:val="24"/>
            <w:u w:val="single"/>
            <w:rtl w:val="0"/>
          </w:rPr>
          <w:t xml:space="preserve">Lidiya.makeup@gmail.com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СВЕДЕНИЯ О ДОКУМЕНТЕ</w:t>
      </w:r>
    </w:p>
    <w:p w:rsidR="00000000" w:rsidDel="00000000" w:rsidP="00000000" w:rsidRDefault="00000000" w:rsidRPr="00000000" w14:paraId="000000A2">
      <w:pPr>
        <w:spacing w:after="20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7.1.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Дата публикации настоящей редакции документа: </w:t>
      </w:r>
      <w:r w:rsidDel="00000000" w:rsidR="00000000" w:rsidRPr="00000000">
        <w:rPr>
          <w:rFonts w:ascii="Times New Roman" w:cs="Times New Roman" w:eastAsia="Times New Roman" w:hAnsi="Times New Roman"/>
          <w:sz w:val="24"/>
          <w:szCs w:val="24"/>
          <w:highlight w:val="white"/>
          <w:rtl w:val="0"/>
        </w:rPr>
        <w:t xml:space="preserve">01 декабря 2023 года</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spacing w:after="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after="200" w:line="276.00000545454543" w:lineRule="auto"/>
        <w:rPr/>
      </w:pP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diya.makeup@gmail.com" TargetMode="External"/><Relationship Id="rId5" Type="http://schemas.openxmlformats.org/officeDocument/2006/relationships/styles" Target="styles.xml"/><Relationship Id="rId6" Type="http://schemas.openxmlformats.org/officeDocument/2006/relationships/hyperlink" Target="https://yandex.ru/legal/confidential/" TargetMode="External"/><Relationship Id="rId7" Type="http://schemas.openxmlformats.org/officeDocument/2006/relationships/hyperlink" Target="https://policies.google.com/privacy?hl=en" TargetMode="External"/><Relationship Id="rId8" Type="http://schemas.openxmlformats.org/officeDocument/2006/relationships/hyperlink" Target="mailto:Lidiya.make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